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B9EBD" w14:textId="77777777" w:rsidR="00164165" w:rsidRPr="00B97B3D" w:rsidRDefault="00164165" w:rsidP="00164165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00B97B3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Bioinformatical assessment of loss of heterozygosity events in </w:t>
      </w:r>
      <w:r w:rsidRPr="00B97B3D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C. albicans </w:t>
      </w:r>
      <w:r w:rsidRPr="00B97B3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filamentous growth mutants</w:t>
      </w:r>
    </w:p>
    <w:p w14:paraId="0C45AA1B" w14:textId="77777777" w:rsidR="00164165" w:rsidRPr="00B97B3D" w:rsidRDefault="00164165" w:rsidP="00164165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679B816F" w14:textId="77777777" w:rsidR="00164165" w:rsidRPr="00B97B3D" w:rsidRDefault="00164165" w:rsidP="00164165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97B3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Emily Hovan, Class of 2021</w:t>
      </w:r>
    </w:p>
    <w:p w14:paraId="53C15EEF" w14:textId="77777777" w:rsidR="00164165" w:rsidRPr="00B97B3D" w:rsidRDefault="00164165" w:rsidP="00164165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3C63C7F9" w14:textId="12E318DC" w:rsidR="00164165" w:rsidRPr="00B97B3D" w:rsidRDefault="00164165" w:rsidP="0016416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B97B3D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Candida albicans 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is an opportunistic pathogenic yeast </w:t>
      </w:r>
      <w:r w:rsidR="004F6AF2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>residing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throughout the human body, often localizing in the gastrointestinal tract, vagina, and oral cavities. Generally, </w:t>
      </w:r>
      <w:r w:rsidRPr="00B97B3D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C. albicans 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>is a harmless commensal fungus. However, environmental factors such as temperatures of 37ºC, the amino sugar N-acetylglucosamine, neutral pH, 5% CO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  <w:vertAlign w:val="subscript"/>
        </w:rPr>
        <w:t>2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and microaerophilic conditions can prompt </w:t>
      </w:r>
      <w:r w:rsidRPr="00B97B3D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C. albicans 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to transition from its innocuous yeast form into a virulent hyphal form (1). Hyphal formation enables locomotion, thus propelling the fungus throughout its host (2). This filamentous growth permits the fungus to </w:t>
      </w:r>
      <w:r w:rsidR="00423522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invade 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>epithelial and endothelial cells</w:t>
      </w:r>
      <w:r w:rsidR="00423522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>’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walls and cause illnesses such as oral thrush, vaginal infections, and deep-tissue infections in immunocompromised individuals. One factor believed to influence </w:t>
      </w:r>
      <w:r w:rsidRPr="00B97B3D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C. albicans’ 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pathogenesis is its genetic plasticity. Having a diploid genome with 14.4 megabases organized into 8 chromosomes, </w:t>
      </w:r>
      <w:r w:rsidRPr="00B97B3D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C. albicans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has notable phenotypic and genetic diversity</w:t>
      </w:r>
      <w:r w:rsidRPr="00B97B3D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(3). Chromosomal rearrangements often arise in response to stresses such as heat shock, host-pathogen interactions, and presence of antifungal drugs (3). Genetic modifications in </w:t>
      </w:r>
      <w:r w:rsidRPr="00B97B3D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C. albicans 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can manifest as loss of heterozygosity, polymorphisms, recombination, chromosomal inversions, and chromosomal aneuploidies (3). Thus, phenotypic variations and genetic diversity </w:t>
      </w:r>
      <w:r w:rsidR="00DE7E8F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may 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play a key role in influencing </w:t>
      </w:r>
      <w:r w:rsidRPr="00B97B3D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C. albicans’ 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commensalism and pathogenicity. This summer, I worked alongside Professor Forche to analyze loss of heterozygosity </w:t>
      </w:r>
      <w:r w:rsidR="00864255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(LOH) 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chromosomal events across two mutant strains of </w:t>
      </w:r>
      <w:r w:rsidRPr="00B97B3D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C. albicans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We applied a bioinformatical approach to verify loss of heterozygosity events while analyzing whole genome sequence data. </w:t>
      </w:r>
    </w:p>
    <w:p w14:paraId="5AFB6A6E" w14:textId="1D0D72B3" w:rsidR="00164165" w:rsidRPr="00B97B3D" w:rsidRDefault="00164165" w:rsidP="00164165">
      <w:pPr>
        <w:ind w:firstLine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To study </w:t>
      </w:r>
      <w:r w:rsidR="00953848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LOH 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>events, the Broad Institute Integrative Genomics Viewer</w:t>
      </w:r>
      <w:r w:rsidR="00280E5F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(IGV)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the Candida Genome Database were utilized</w:t>
      </w:r>
      <w:r w:rsidR="009F1354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(4,5)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We employed a </w:t>
      </w:r>
      <w:r w:rsidR="004F6AF2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>2-step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process to determine </w:t>
      </w:r>
      <w:r w:rsidR="004F6AF2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>LOH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events</w:t>
      </w:r>
      <w:r w:rsidR="00280E5F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a comparative analysis between two </w:t>
      </w:r>
      <w:r w:rsidR="00280E5F" w:rsidRPr="00B97B3D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C. albicans </w:t>
      </w:r>
      <w:r w:rsidR="00280E5F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>strains in Excel and visual confirmation of data in IGV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280E5F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Previously, genome sequence data was processed and returned all loci </w:t>
      </w:r>
      <w:r w:rsidR="00D228A3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>differing</w:t>
      </w:r>
      <w:r w:rsidR="00280E5F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from </w:t>
      </w:r>
      <w:r w:rsidR="00280E5F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>their parental strain, AF7.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 studied </w:t>
      </w:r>
      <w:r w:rsidR="00280E5F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this 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processed genome sequence data for all 8 of </w:t>
      </w:r>
      <w:r w:rsidRPr="00B97B3D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C</w:t>
      </w:r>
      <w:r w:rsidR="00AB5735" w:rsidRPr="00B97B3D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.</w:t>
      </w:r>
      <w:r w:rsidRPr="00B97B3D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albicans’ 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chromosomes in Excel and selected loci that indicated homozygosity across both strains. If both strains at a locus appeared homozygous for the same allele, I </w:t>
      </w:r>
      <w:r w:rsidR="00423522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>deemed them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 </w:t>
      </w:r>
      <w:r w:rsidR="00864255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>LOH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event. However, the whole genome sequence data needed to be </w:t>
      </w:r>
      <w:r w:rsidR="00280E5F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verified </w:t>
      </w:r>
      <w:r w:rsid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 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IGV, since the </w:t>
      </w:r>
      <w:r w:rsidR="009F1354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>Excel data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was not always reliable. </w:t>
      </w:r>
      <w:r w:rsidR="009F1354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Inconsistencies appeared between the Excel data and the </w:t>
      </w:r>
      <w:r w:rsidR="00BC4918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>data</w:t>
      </w:r>
      <w:r w:rsidR="00AB5735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 IGV</w:t>
      </w:r>
      <w:r w:rsidR="00BC4918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because the IGV data represent the raw data and the excel data represent the data after the application of normalization and further bioinformatic analysis specific for LOH. </w:t>
      </w:r>
      <w:r w:rsidR="00280E5F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>For example, t</w:t>
      </w:r>
      <w:r w:rsidR="00AB5735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here 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were instances where a locus appeared homozygous in the Excel spreadsheet, but was actually heterozygous upon confirmation in IGV. Additionally, </w:t>
      </w:r>
      <w:r w:rsidR="00ED6A03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>sometimes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the Excel data suggested that loci were homozygous, but upon analysis in IGV</w:t>
      </w:r>
      <w:r w:rsidR="00ED6A03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this assessment proved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unreliable because of a low total</w:t>
      </w:r>
      <w:r w:rsidR="00FE61C8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>count of bases</w:t>
      </w:r>
      <w:r w:rsidR="00AB5735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BC4918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Therefore, it proved essential to confirm LOH events in IGV manually. </w:t>
      </w:r>
      <w:r w:rsidR="00AB5735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To eliminate data due to low sequence coverage, we </w:t>
      </w:r>
      <w:r w:rsidR="00BC4918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filtered out all loci with a total count (read depth, allele A+B) of </w:t>
      </w:r>
      <w:r w:rsidR="00AB5735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>10</w:t>
      </w:r>
      <w:r w:rsidR="00B97B3D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AB5735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>Once these events were confirmed, I screened</w:t>
      </w:r>
      <w:r w:rsidR="00F56620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each locus</w:t>
      </w:r>
      <w:r w:rsidR="00FE0FA5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C4918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 the Candida Genome Database 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>to determine if</w:t>
      </w:r>
      <w:r w:rsidR="00BC4918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LOH had occurred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 an open reading frame (ORF)</w:t>
      </w:r>
      <w:r w:rsidR="00BC4918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collected information on gene function. Finally, 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 organized the confirmed </w:t>
      </w:r>
      <w:r w:rsidR="00F56620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LOH 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>events and ORF descriptions in a new spreadsheet that may be referenced for future experiments.</w:t>
      </w:r>
    </w:p>
    <w:p w14:paraId="7A2EE908" w14:textId="0FE3D68B" w:rsidR="00164165" w:rsidRPr="00B97B3D" w:rsidRDefault="00164165" w:rsidP="0016416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Studying genetic instability of </w:t>
      </w:r>
      <w:r w:rsidRPr="00B97B3D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C. albicans 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may </w:t>
      </w:r>
      <w:r w:rsidR="00423522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help us 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comprehend the mechanisms behind its pathogenesis. Discovering the genotypic and phenotypic modifications that arise in </w:t>
      </w:r>
      <w:r w:rsidRPr="00B97B3D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C. albicans 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 response to environmental stresses can provide important insight into how infections develop, and in turn, how we can prevent them. Our research highlights the importance of verifying true </w:t>
      </w:r>
      <w:r w:rsidR="00710E65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LOH 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events. The processed whole genome sequence data did not always accurately indicate </w:t>
      </w:r>
      <w:r w:rsidR="00431E7A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>LOH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because it lacked total base count information and was revealed </w:t>
      </w:r>
      <w:r w:rsidR="00423522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>as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heterozygous in IGV. Therefore, it </w:t>
      </w:r>
      <w:r w:rsidR="00ED6A03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>was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important to employ a secondary analysis method, such as IGV. Furthermore, our research can be applied to future experiments. </w:t>
      </w:r>
      <w:r w:rsidR="00FE61C8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For example, to </w:t>
      </w:r>
      <w:r w:rsidR="00BC4918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>confirm</w:t>
      </w:r>
      <w:r w:rsidR="00FE61C8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the muta</w:t>
      </w:r>
      <w:r w:rsidR="00423522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tions </w:t>
      </w:r>
      <w:r w:rsidR="00BC4918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>identified</w:t>
      </w:r>
      <w:r w:rsidR="00423522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we will utilize Sanger sequencing. We then will introduce </w:t>
      </w:r>
      <w:r w:rsidR="00BC4918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>candidate mutations</w:t>
      </w:r>
      <w:r w:rsidR="00423522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D6A03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>in</w:t>
      </w:r>
      <w:r w:rsidR="00423522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C4918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parental strain </w:t>
      </w:r>
      <w:r w:rsidR="00423522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AF7 to </w:t>
      </w:r>
      <w:r w:rsidR="00BC4918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>see</w:t>
      </w:r>
      <w:r w:rsidR="00423522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if the filamentous growth phenotype of the mutant strain can be </w:t>
      </w:r>
      <w:r w:rsidR="00BC4918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>recapitulated</w:t>
      </w:r>
      <w:r w:rsidR="00423522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Ultimately, we hope our bioinformatical assessment of loss of heterozygosity events in </w:t>
      </w:r>
      <w:r w:rsidRPr="00B97B3D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C. albicans 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>mutants can provide important framework for future</w:t>
      </w:r>
      <w:r w:rsidR="00FE61C8"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97B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experiments. </w:t>
      </w:r>
    </w:p>
    <w:p w14:paraId="037946D2" w14:textId="77777777" w:rsidR="003E674C" w:rsidRPr="00B97B3D" w:rsidRDefault="003E674C" w:rsidP="0016416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B402A35" w14:textId="77777777" w:rsidR="00535C50" w:rsidRPr="00B97B3D" w:rsidRDefault="00535C50" w:rsidP="00535C50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97B3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Faculty Mentor: Anja Forche</w:t>
      </w:r>
    </w:p>
    <w:p w14:paraId="77A0012D" w14:textId="77777777" w:rsidR="00535C50" w:rsidRPr="00B97B3D" w:rsidRDefault="00535C50" w:rsidP="00535C50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505A17F4" w14:textId="6CE7A342" w:rsidR="00535C50" w:rsidRPr="00B97B3D" w:rsidRDefault="00535C50" w:rsidP="00535C50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97B3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Funded by the Life Sciences Summer Fellowship</w:t>
      </w:r>
    </w:p>
    <w:p w14:paraId="0D6F1E41" w14:textId="77777777" w:rsidR="00805741" w:rsidRPr="00B97B3D" w:rsidRDefault="00805741" w:rsidP="00535C50">
      <w:pPr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</w:pPr>
    </w:p>
    <w:p w14:paraId="0A186ECC" w14:textId="534E7DFD" w:rsidR="008524DE" w:rsidRPr="00B97B3D" w:rsidRDefault="008524DE" w:rsidP="00535C50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B97B3D">
        <w:rPr>
          <w:rFonts w:ascii="Times New Roman" w:hAnsi="Times New Roman" w:cs="Times New Roman"/>
          <w:color w:val="000000" w:themeColor="text1"/>
          <w:sz w:val="14"/>
          <w:szCs w:val="14"/>
        </w:rPr>
        <w:t>References</w:t>
      </w:r>
    </w:p>
    <w:p w14:paraId="697223B6" w14:textId="77777777" w:rsidR="008524DE" w:rsidRPr="00B97B3D" w:rsidRDefault="008524DE" w:rsidP="008524DE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B97B3D">
        <w:rPr>
          <w:rFonts w:ascii="Times New Roman" w:hAnsi="Times New Roman" w:cs="Times New Roman"/>
          <w:color w:val="000000" w:themeColor="text1"/>
          <w:sz w:val="14"/>
          <w:szCs w:val="14"/>
        </w:rPr>
        <w:t>1.</w:t>
      </w:r>
      <w:r w:rsidRPr="00B97B3D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</w:t>
      </w:r>
      <w:r w:rsidRPr="00B97B3D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Sharkey L.L., McNemar M.D., Saporito-Irwin S.M., Sypherd P.S., Fonzi W.A. 1999. </w:t>
      </w:r>
      <w:r w:rsidRPr="00B97B3D">
        <w:rPr>
          <w:rFonts w:ascii="Times New Roman" w:hAnsi="Times New Roman" w:cs="Times New Roman"/>
          <w:i/>
          <w:iCs/>
          <w:color w:val="000000" w:themeColor="text1"/>
          <w:sz w:val="14"/>
          <w:szCs w:val="14"/>
        </w:rPr>
        <w:t xml:space="preserve">HWP1 </w:t>
      </w:r>
      <w:r w:rsidRPr="00B97B3D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functions in the morphological development of </w:t>
      </w:r>
      <w:r w:rsidRPr="00B97B3D">
        <w:rPr>
          <w:rFonts w:ascii="Times New Roman" w:hAnsi="Times New Roman" w:cs="Times New Roman"/>
          <w:i/>
          <w:iCs/>
          <w:color w:val="000000" w:themeColor="text1"/>
          <w:sz w:val="14"/>
          <w:szCs w:val="14"/>
        </w:rPr>
        <w:t xml:space="preserve">Candida albicans </w:t>
      </w:r>
      <w:r w:rsidRPr="00B97B3D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downstream of </w:t>
      </w:r>
      <w:r w:rsidRPr="00B97B3D">
        <w:rPr>
          <w:rFonts w:ascii="Times New Roman" w:hAnsi="Times New Roman" w:cs="Times New Roman"/>
          <w:i/>
          <w:iCs/>
          <w:color w:val="000000" w:themeColor="text1"/>
          <w:sz w:val="14"/>
          <w:szCs w:val="14"/>
        </w:rPr>
        <w:t>EFG1</w:t>
      </w:r>
      <w:r w:rsidRPr="00B97B3D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, </w:t>
      </w:r>
      <w:r w:rsidRPr="00B97B3D">
        <w:rPr>
          <w:rFonts w:ascii="Times New Roman" w:hAnsi="Times New Roman" w:cs="Times New Roman"/>
          <w:i/>
          <w:iCs/>
          <w:color w:val="000000" w:themeColor="text1"/>
          <w:sz w:val="14"/>
          <w:szCs w:val="14"/>
        </w:rPr>
        <w:t>TUP1</w:t>
      </w:r>
      <w:r w:rsidRPr="00B97B3D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, and </w:t>
      </w:r>
      <w:r w:rsidRPr="00B97B3D">
        <w:rPr>
          <w:rFonts w:ascii="Times New Roman" w:hAnsi="Times New Roman" w:cs="Times New Roman"/>
          <w:i/>
          <w:iCs/>
          <w:color w:val="000000" w:themeColor="text1"/>
          <w:sz w:val="14"/>
          <w:szCs w:val="14"/>
        </w:rPr>
        <w:t>RBF1</w:t>
      </w:r>
      <w:r w:rsidRPr="00B97B3D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. J Bacteriol. </w:t>
      </w:r>
      <w:r w:rsidRPr="00B97B3D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>181</w:t>
      </w:r>
      <w:r w:rsidRPr="00B97B3D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(17):5273-5279 </w:t>
      </w:r>
    </w:p>
    <w:p w14:paraId="5AD0F7A0" w14:textId="77777777" w:rsidR="008524DE" w:rsidRPr="00B97B3D" w:rsidRDefault="008524DE" w:rsidP="008524DE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B97B3D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Koehler J.R., Hube B., Puccia R., Casadevall A., Perfect J.R. 2017. Fungi that infect humans. Microbiol Spectrum </w:t>
      </w:r>
      <w:r w:rsidRPr="00B97B3D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>5</w:t>
      </w:r>
      <w:r w:rsidRPr="00B97B3D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(3):1-29.  </w:t>
      </w:r>
    </w:p>
    <w:p w14:paraId="1DB88E4B" w14:textId="231DABC0" w:rsidR="008524DE" w:rsidRPr="00B97B3D" w:rsidRDefault="008524DE" w:rsidP="008524DE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B97B3D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Dadar M., Tiwari R., Karthik K., Chakraborty S., Shahali Y., Dhama K. 2018. </w:t>
      </w:r>
      <w:r w:rsidRPr="00B97B3D">
        <w:rPr>
          <w:rFonts w:ascii="Times New Roman" w:hAnsi="Times New Roman" w:cs="Times New Roman"/>
          <w:i/>
          <w:iCs/>
          <w:color w:val="000000" w:themeColor="text1"/>
          <w:sz w:val="14"/>
          <w:szCs w:val="14"/>
        </w:rPr>
        <w:t>Candida albicans</w:t>
      </w:r>
      <w:r w:rsidRPr="00B97B3D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—Biology, molecular characterization, pathogenicity, and advances in diagnosis and control—An update. Microb. Pathog. </w:t>
      </w:r>
      <w:r w:rsidRPr="00B97B3D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>117</w:t>
      </w:r>
      <w:r w:rsidRPr="00B97B3D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(2018):128-138. </w:t>
      </w:r>
    </w:p>
    <w:p w14:paraId="21C1CE8D" w14:textId="0B0AAD7D" w:rsidR="0080015F" w:rsidRPr="00B97B3D" w:rsidRDefault="00B97B3D" w:rsidP="00710E65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B97B3D">
        <w:rPr>
          <w:rFonts w:ascii="Times New Roman" w:hAnsi="Times New Roman" w:cs="Times New Roman"/>
          <w:color w:val="000000" w:themeColor="text1"/>
          <w:sz w:val="14"/>
          <w:szCs w:val="14"/>
        </w:rPr>
        <w:t>James T. Robinson, Helga Thorvaldsdóttir, Wendy Winckler, Mitchell Guttman, Eric S. Lander, Gad Getz, Jill P. Mesirov.</w:t>
      </w:r>
      <w:hyperlink r:id="rId8" w:history="1">
        <w:r w:rsidRPr="00B97B3D">
          <w:rPr>
            <w:rStyle w:val="Hyperlink"/>
            <w:rFonts w:ascii="Times New Roman" w:hAnsi="Times New Roman" w:cs="Times New Roman"/>
            <w:color w:val="000000" w:themeColor="text1"/>
            <w:sz w:val="14"/>
            <w:szCs w:val="14"/>
          </w:rPr>
          <w:t> </w:t>
        </w:r>
        <w:r w:rsidRPr="00B97B3D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14"/>
            <w:szCs w:val="14"/>
          </w:rPr>
          <w:t>Integrative Genomics Viewer</w:t>
        </w:r>
        <w:r w:rsidRPr="00B97B3D">
          <w:rPr>
            <w:rStyle w:val="Hyperlink"/>
            <w:rFonts w:ascii="Times New Roman" w:hAnsi="Times New Roman" w:cs="Times New Roman"/>
            <w:color w:val="000000" w:themeColor="text1"/>
            <w:sz w:val="14"/>
            <w:szCs w:val="14"/>
          </w:rPr>
          <w:t>. Nature Biotechnology 29, 24–26 (2011)</w:t>
        </w:r>
      </w:hyperlink>
      <w:r w:rsidRPr="00B97B3D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. (Free PMC article </w:t>
      </w:r>
      <w:hyperlink r:id="rId9" w:history="1">
        <w:r w:rsidRPr="00B97B3D">
          <w:rPr>
            <w:rStyle w:val="Hyperlink"/>
            <w:rFonts w:ascii="Times New Roman" w:hAnsi="Times New Roman" w:cs="Times New Roman"/>
            <w:color w:val="000000" w:themeColor="text1"/>
            <w:sz w:val="14"/>
            <w:szCs w:val="14"/>
          </w:rPr>
          <w:t>here</w:t>
        </w:r>
      </w:hyperlink>
      <w:r w:rsidRPr="00B97B3D">
        <w:rPr>
          <w:rFonts w:ascii="Times New Roman" w:hAnsi="Times New Roman" w:cs="Times New Roman"/>
          <w:color w:val="000000" w:themeColor="text1"/>
          <w:sz w:val="14"/>
          <w:szCs w:val="14"/>
        </w:rPr>
        <w:t>).</w:t>
      </w:r>
    </w:p>
    <w:p w14:paraId="6F501B72" w14:textId="51C424C1" w:rsidR="00B97B3D" w:rsidRPr="00B97B3D" w:rsidRDefault="00B97B3D" w:rsidP="00710E65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B97B3D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Skrzypek MS, Binkley J, Binkley G, Miyasato SR, Simison M, Sherlock G (2017). The Candida Genome Database (CGD): incorporation of Assembly 22, systematic identifiers and visualization of high throughput sequencing data. </w:t>
      </w:r>
      <w:r w:rsidRPr="00B97B3D">
        <w:rPr>
          <w:rFonts w:ascii="Times New Roman" w:hAnsi="Times New Roman" w:cs="Times New Roman"/>
          <w:i/>
          <w:iCs/>
          <w:color w:val="000000" w:themeColor="text1"/>
          <w:sz w:val="14"/>
          <w:szCs w:val="14"/>
        </w:rPr>
        <w:t>Nucleic Acids Res</w:t>
      </w:r>
      <w:r w:rsidRPr="00B97B3D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r w:rsidRPr="00B97B3D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>45</w:t>
      </w:r>
      <w:r w:rsidRPr="00B97B3D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(D1); D592-D596.</w:t>
      </w:r>
    </w:p>
    <w:sectPr w:rsidR="00B97B3D" w:rsidRPr="00B97B3D" w:rsidSect="001641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8689C"/>
    <w:multiLevelType w:val="multilevel"/>
    <w:tmpl w:val="025A8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65"/>
    <w:rsid w:val="00164165"/>
    <w:rsid w:val="00173AA2"/>
    <w:rsid w:val="001B543E"/>
    <w:rsid w:val="00204A99"/>
    <w:rsid w:val="00280E5F"/>
    <w:rsid w:val="0035102F"/>
    <w:rsid w:val="003E674C"/>
    <w:rsid w:val="00423522"/>
    <w:rsid w:val="00431E7A"/>
    <w:rsid w:val="004F6AF2"/>
    <w:rsid w:val="00535C50"/>
    <w:rsid w:val="00710E65"/>
    <w:rsid w:val="0080015F"/>
    <w:rsid w:val="00805741"/>
    <w:rsid w:val="008524DE"/>
    <w:rsid w:val="00864255"/>
    <w:rsid w:val="008F1604"/>
    <w:rsid w:val="00953848"/>
    <w:rsid w:val="009F1354"/>
    <w:rsid w:val="00AB5735"/>
    <w:rsid w:val="00AF52F9"/>
    <w:rsid w:val="00B1249D"/>
    <w:rsid w:val="00B97B3D"/>
    <w:rsid w:val="00BA2A5F"/>
    <w:rsid w:val="00BC4918"/>
    <w:rsid w:val="00C073B5"/>
    <w:rsid w:val="00D228A3"/>
    <w:rsid w:val="00D24C30"/>
    <w:rsid w:val="00DE7E8F"/>
    <w:rsid w:val="00E24ACB"/>
    <w:rsid w:val="00ED6A03"/>
    <w:rsid w:val="00F56620"/>
    <w:rsid w:val="00F70A26"/>
    <w:rsid w:val="00FE0FA5"/>
    <w:rsid w:val="00FE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349B3"/>
  <w15:chartTrackingRefBased/>
  <w15:docId w15:val="{121D7CB1-6DE5-5F4E-804A-FB236C3E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4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4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1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16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1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65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A2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0A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70A2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97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com/nbt/journal/v29/n1/abs/nbt.1754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cbi.nlm.nih.gov/pmc/articles/PMC334618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350EEE769BA49B725682EE5C7FDED" ma:contentTypeVersion="30" ma:contentTypeDescription="Create a new document." ma:contentTypeScope="" ma:versionID="3038627cb55397a6cc374241816f2987">
  <xsd:schema xmlns:xsd="http://www.w3.org/2001/XMLSchema" xmlns:xs="http://www.w3.org/2001/XMLSchema" xmlns:p="http://schemas.microsoft.com/office/2006/metadata/properties" xmlns:ns3="316e0a6c-618f-4986-8531-dd4f29d4b39c" xmlns:ns4="0da05fbb-4f3a-4a8e-ae69-d95310997e94" targetNamespace="http://schemas.microsoft.com/office/2006/metadata/properties" ma:root="true" ma:fieldsID="27f518d933d1fabdd1102ea17ee33d51" ns3:_="" ns4:_="">
    <xsd:import namespace="316e0a6c-618f-4986-8531-dd4f29d4b39c"/>
    <xsd:import namespace="0da05fbb-4f3a-4a8e-ae69-d95310997e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e0a6c-618f-4986-8531-dd4f29d4b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05fbb-4f3a-4a8e-ae69-d95310997e94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316e0a6c-618f-4986-8531-dd4f29d4b39c" xsi:nil="true"/>
    <IsNotebookLocked xmlns="316e0a6c-618f-4986-8531-dd4f29d4b39c" xsi:nil="true"/>
    <FolderType xmlns="316e0a6c-618f-4986-8531-dd4f29d4b39c" xsi:nil="true"/>
    <CultureName xmlns="316e0a6c-618f-4986-8531-dd4f29d4b39c" xsi:nil="true"/>
    <Student_Groups xmlns="316e0a6c-618f-4986-8531-dd4f29d4b39c">
      <UserInfo>
        <DisplayName/>
        <AccountId xsi:nil="true"/>
        <AccountType/>
      </UserInfo>
    </Student_Groups>
    <Self_Registration_Enabled xmlns="316e0a6c-618f-4986-8531-dd4f29d4b39c" xsi:nil="true"/>
    <DefaultSectionNames xmlns="316e0a6c-618f-4986-8531-dd4f29d4b39c" xsi:nil="true"/>
    <NotebookType xmlns="316e0a6c-618f-4986-8531-dd4f29d4b39c" xsi:nil="true"/>
    <Teachers xmlns="316e0a6c-618f-4986-8531-dd4f29d4b39c">
      <UserInfo>
        <DisplayName/>
        <AccountId xsi:nil="true"/>
        <AccountType/>
      </UserInfo>
    </Teachers>
    <Templates xmlns="316e0a6c-618f-4986-8531-dd4f29d4b39c" xsi:nil="true"/>
    <TeamsChannelId xmlns="316e0a6c-618f-4986-8531-dd4f29d4b39c" xsi:nil="true"/>
    <Invited_Teachers xmlns="316e0a6c-618f-4986-8531-dd4f29d4b39c" xsi:nil="true"/>
    <Owner xmlns="316e0a6c-618f-4986-8531-dd4f29d4b39c">
      <UserInfo>
        <DisplayName/>
        <AccountId xsi:nil="true"/>
        <AccountType/>
      </UserInfo>
    </Owner>
    <Students xmlns="316e0a6c-618f-4986-8531-dd4f29d4b39c">
      <UserInfo>
        <DisplayName/>
        <AccountId xsi:nil="true"/>
        <AccountType/>
      </UserInfo>
    </Students>
    <Has_Teacher_Only_SectionGroup xmlns="316e0a6c-618f-4986-8531-dd4f29d4b39c" xsi:nil="true"/>
    <Is_Collaboration_Space_Locked xmlns="316e0a6c-618f-4986-8531-dd4f29d4b39c" xsi:nil="true"/>
    <AppVersion xmlns="316e0a6c-618f-4986-8531-dd4f29d4b39c" xsi:nil="true"/>
  </documentManagement>
</p:properties>
</file>

<file path=customXml/itemProps1.xml><?xml version="1.0" encoding="utf-8"?>
<ds:datastoreItem xmlns:ds="http://schemas.openxmlformats.org/officeDocument/2006/customXml" ds:itemID="{ABB027A5-24A5-4C3A-BA04-DF01C5F18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e0a6c-618f-4986-8531-dd4f29d4b39c"/>
    <ds:schemaRef ds:uri="0da05fbb-4f3a-4a8e-ae69-d95310997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2C2CEF-648A-4836-8D04-6AFE7E284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16E7D-D9B0-4C5D-B10F-E3A7C6911D42}">
  <ds:schemaRefs>
    <ds:schemaRef ds:uri="http://purl.org/dc/dcmitype/"/>
    <ds:schemaRef ds:uri="http://purl.org/dc/terms/"/>
    <ds:schemaRef ds:uri="316e0a6c-618f-4986-8531-dd4f29d4b39c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da05fbb-4f3a-4a8e-ae69-d95310997e94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909</Words>
  <Characters>5183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Hovan</dc:creator>
  <cp:keywords/>
  <dc:description/>
  <cp:lastModifiedBy>Gina Pappas</cp:lastModifiedBy>
  <cp:revision>2</cp:revision>
  <dcterms:created xsi:type="dcterms:W3CDTF">2020-08-31T19:20:00Z</dcterms:created>
  <dcterms:modified xsi:type="dcterms:W3CDTF">2020-08-31T19:20:00Z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0x01010048E350EEE769BA49B725682EE5C7FDED</vt:lpwstr>
  </property>
</Properties>
</file>