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B9EBD" w14:textId="77777777" w:rsidR="00164165" w:rsidRPr="00B97B3D" w:rsidRDefault="00164165" w:rsidP="00164165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B97B3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Bioinformatical assessment of loss of heterozygosity events in </w:t>
      </w:r>
      <w:r w:rsidRPr="00B97B3D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C. albicans </w:t>
      </w:r>
      <w:r w:rsidRPr="00B97B3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filamentous growth mutants</w:t>
      </w:r>
    </w:p>
    <w:p w14:paraId="0C45AA1B" w14:textId="77777777" w:rsidR="00164165" w:rsidRPr="00B97B3D" w:rsidRDefault="00164165" w:rsidP="00164165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79B816F" w14:textId="77777777" w:rsidR="00164165" w:rsidRPr="00B97B3D" w:rsidRDefault="00164165" w:rsidP="00164165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97B3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Emily Hovan, Class of 2021</w:t>
      </w:r>
    </w:p>
    <w:p w14:paraId="53C15EEF" w14:textId="77777777" w:rsidR="00164165" w:rsidRPr="00B97B3D" w:rsidRDefault="00164165" w:rsidP="00164165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C63C7F9" w14:textId="12E318DC" w:rsidR="00164165" w:rsidRPr="00B97B3D" w:rsidRDefault="00164165" w:rsidP="00164165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B97B3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Candida albicans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is an opportunistic pathogenic yeast </w:t>
      </w:r>
      <w:r w:rsidR="004F6AF2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residing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throughout the human body, often localizing in the gastrointestinal tract, vagina, and oral cavities. Generally,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C. albicans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is a harmless commensal fungus. However, environmental factors such as temperatures of 37ºC, the amino sugar N-acetylglucosamine, neutral pH, 5% CO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and microaerophilic conditions can prompt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C. albicans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to transition from its innocuous yeast form into a virulent hyphal form (1). Hyphal formation enables locomotion, thus propelling the fungus throughout its host (2). This filamentous growth permits the fungus to </w:t>
      </w:r>
      <w:r w:rsidR="00423522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invade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epithelial and endothelial cells</w:t>
      </w:r>
      <w:r w:rsidR="00423522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’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walls and cause illnesses such as oral thrush, vaginal infections, and deep-tissue infections in immunocompromised individuals. One factor believed to influence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C. albicans’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pathogenesis is its genetic plasticity. Having a diploid genome with 14.4 megabases organized into 8 chromosomes,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C. albicans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has notable phenotypic and genetic diversity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(3). Chromosomal rearrangements often arise in response to stresses such as heat shock, host-pathogen interactions, and presence of antifungal drugs (3). Genetic modifications in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C. albicans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can manifest as loss of heterozygosity, polymorphisms, recombination, chromosomal inversions, and chromosomal aneuploidies (3). Thus, phenotypic variations and genetic diversity </w:t>
      </w:r>
      <w:r w:rsidR="00DE7E8F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may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play a key role in influencing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C. albicans’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commensalism and pathogenicity. This summer, I worked alongside Professor Forche to analyze loss of heterozygosity </w:t>
      </w:r>
      <w:r w:rsidR="00864255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(LOH)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chromosomal events across two mutant strains of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C. albicans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We applied a bioinformatical approach to verify loss of heterozygosity events while analyzing whole genome sequence data. </w:t>
      </w:r>
    </w:p>
    <w:p w14:paraId="5AFB6A6E" w14:textId="1D0D72B3" w:rsidR="00164165" w:rsidRPr="00B97B3D" w:rsidRDefault="00164165" w:rsidP="00164165">
      <w:pPr>
        <w:ind w:firstLine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To study </w:t>
      </w:r>
      <w:r w:rsidR="0095384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LOH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events, the Broad Institute Integrative Genomics Viewer</w:t>
      </w:r>
      <w:r w:rsidR="00280E5F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(IGV)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the Candida Genome Database were utilized</w:t>
      </w:r>
      <w:r w:rsidR="009F1354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(4,5)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We employed a </w:t>
      </w:r>
      <w:r w:rsidR="004F6AF2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2-step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process to determine </w:t>
      </w:r>
      <w:r w:rsidR="004F6AF2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LOH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events</w:t>
      </w:r>
      <w:r w:rsidR="00280E5F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a comparative analysis between two </w:t>
      </w:r>
      <w:r w:rsidR="00280E5F" w:rsidRPr="00B97B3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C. albicans </w:t>
      </w:r>
      <w:r w:rsidR="00280E5F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strains in Excel and visual confirmation of data in IGV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280E5F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Previously, genome sequence data was processed and returned all loci </w:t>
      </w:r>
      <w:r w:rsidR="00D228A3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differing</w:t>
      </w:r>
      <w:r w:rsidR="00280E5F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from </w:t>
      </w:r>
      <w:r w:rsidR="00280E5F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their parental strain, AF7.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studied </w:t>
      </w:r>
      <w:r w:rsidR="00280E5F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this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processed genome sequence data for all 8 of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</w:t>
      </w:r>
      <w:r w:rsidR="00AB5735" w:rsidRPr="00B97B3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.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albicans’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chromosomes in Excel and selected loci that indicated homozygosity across both strains. If both strains at a locus appeared homozygous for the same allele, I </w:t>
      </w:r>
      <w:r w:rsidR="00423522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deemed them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</w:t>
      </w:r>
      <w:r w:rsidR="00864255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LOH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event. However, the whole genome sequence data needed to be </w:t>
      </w:r>
      <w:r w:rsidR="00280E5F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verified </w:t>
      </w:r>
      <w:r w:rsid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IGV, since the </w:t>
      </w:r>
      <w:r w:rsidR="009F1354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Excel data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was not always reliable. </w:t>
      </w:r>
      <w:r w:rsidR="009F1354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Inconsistencies appeared between the Excel data and the </w:t>
      </w:r>
      <w:r w:rsidR="00BC491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data</w:t>
      </w:r>
      <w:r w:rsidR="00AB5735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IGV</w:t>
      </w:r>
      <w:r w:rsidR="00BC491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because the IGV data represent the raw data and the excel data represent the data after the application of normalization and further bioinformatic analysis specific for LOH. </w:t>
      </w:r>
      <w:r w:rsidR="00280E5F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For example, t</w:t>
      </w:r>
      <w:r w:rsidR="00AB5735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here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were instances where a locus appeared homozygous in the Excel spreadsheet, but was actually heterozygous upon confirmation in IGV. Additionally, </w:t>
      </w:r>
      <w:r w:rsidR="00ED6A03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sometimes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Excel data suggested that loci were homozygous, but upon analysis in IGV</w:t>
      </w:r>
      <w:r w:rsidR="00ED6A03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this assessment proved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unreliable because of a low total</w:t>
      </w:r>
      <w:r w:rsidR="00FE61C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count of bases</w:t>
      </w:r>
      <w:r w:rsidR="00AB5735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BC491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Therefore, it proved essential to confirm LOH events in IGV manually. </w:t>
      </w:r>
      <w:r w:rsidR="00AB5735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To eliminate data due to low sequence coverage, we </w:t>
      </w:r>
      <w:r w:rsidR="00BC491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filtered out all loci with a total count (read depth, allele A+B) of </w:t>
      </w:r>
      <w:r w:rsidR="00AB5735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10</w:t>
      </w:r>
      <w:r w:rsidR="00B97B3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AB5735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Once these events were confirmed, I screened</w:t>
      </w:r>
      <w:r w:rsidR="00F56620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each locus</w:t>
      </w:r>
      <w:r w:rsidR="00FE0FA5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C491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the Candida Genome Database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to determine if</w:t>
      </w:r>
      <w:r w:rsidR="00BC491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LOH had occurred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an open reading frame (ORF)</w:t>
      </w:r>
      <w:r w:rsidR="00BC491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collected information on gene function. Finally,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organized the confirmed </w:t>
      </w:r>
      <w:r w:rsidR="00F56620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LOH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events and ORF descriptions in a new spreadsheet that may be referenced for future experiments.</w:t>
      </w:r>
    </w:p>
    <w:p w14:paraId="7A2EE908" w14:textId="0FE3D68B" w:rsidR="00164165" w:rsidRPr="00B97B3D" w:rsidRDefault="00164165" w:rsidP="00164165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Studying genetic instability of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C. albicans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may </w:t>
      </w:r>
      <w:r w:rsidR="00423522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help us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comprehend the mechanisms behind its pathogenesis. Discovering the genotypic and phenotypic modifications that arise in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C. albicans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response to environmental stresses can provide important insight into how infections develop, and in turn, how we can prevent them. Our research highlights the importance of verifying true </w:t>
      </w:r>
      <w:r w:rsidR="00710E65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LOH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events. The processed whole genome sequence data did not always accurately indicate </w:t>
      </w:r>
      <w:r w:rsidR="00431E7A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LOH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because it lacked total base count information and was revealed </w:t>
      </w:r>
      <w:r w:rsidR="00423522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as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heterozygous in IGV. Therefore, it </w:t>
      </w:r>
      <w:r w:rsidR="00ED6A03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was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important to employ a secondary analysis method, such as IGV. Furthermore, our research can be applied to future experiments. </w:t>
      </w:r>
      <w:r w:rsidR="00FE61C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For example, to </w:t>
      </w:r>
      <w:r w:rsidR="00BC491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confirm</w:t>
      </w:r>
      <w:r w:rsidR="00FE61C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muta</w:t>
      </w:r>
      <w:r w:rsidR="00423522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tions </w:t>
      </w:r>
      <w:r w:rsidR="00BC491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identified</w:t>
      </w:r>
      <w:r w:rsidR="00423522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we will utilize Sanger sequencing. We then will introduce </w:t>
      </w:r>
      <w:r w:rsidR="00BC491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candidate mutations</w:t>
      </w:r>
      <w:r w:rsidR="00423522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D6A03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in</w:t>
      </w:r>
      <w:r w:rsidR="00423522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C491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parental strain </w:t>
      </w:r>
      <w:r w:rsidR="00423522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AF7 to </w:t>
      </w:r>
      <w:r w:rsidR="00BC491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see</w:t>
      </w:r>
      <w:r w:rsidR="00423522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if the filamentous growth phenotype of the mutant strain can be </w:t>
      </w:r>
      <w:r w:rsidR="00BC491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recapitulated</w:t>
      </w:r>
      <w:r w:rsidR="00423522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Ultimately, we hope our bioinformatical assessment of loss of heterozygosity events in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C. albicans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>mutants can provide important framework for future</w:t>
      </w:r>
      <w:r w:rsidR="00FE61C8"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97B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experiments. </w:t>
      </w:r>
    </w:p>
    <w:p w14:paraId="037946D2" w14:textId="77777777" w:rsidR="003E674C" w:rsidRPr="00B97B3D" w:rsidRDefault="003E674C" w:rsidP="00164165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B402A35" w14:textId="77777777" w:rsidR="00535C50" w:rsidRPr="00B97B3D" w:rsidRDefault="00535C50" w:rsidP="00535C5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97B3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Faculty Mentor: Anja Forche</w:t>
      </w:r>
    </w:p>
    <w:p w14:paraId="77A0012D" w14:textId="77777777" w:rsidR="00535C50" w:rsidRPr="00B97B3D" w:rsidRDefault="00535C50" w:rsidP="00535C5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05A17F4" w14:textId="6CE7A342" w:rsidR="00535C50" w:rsidRPr="00B97B3D" w:rsidRDefault="00535C50" w:rsidP="00535C5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97B3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Funded by the Life Sciences Summer Fellowship</w:t>
      </w:r>
    </w:p>
    <w:p w14:paraId="0D6F1E41" w14:textId="77777777" w:rsidR="00805741" w:rsidRPr="00B97B3D" w:rsidRDefault="00805741" w:rsidP="00535C50">
      <w:pPr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</w:pPr>
    </w:p>
    <w:p w14:paraId="0A186ECC" w14:textId="534E7DFD" w:rsidR="008524DE" w:rsidRPr="00B97B3D" w:rsidRDefault="008524DE" w:rsidP="00535C50">
      <w:pPr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>References</w:t>
      </w:r>
    </w:p>
    <w:p w14:paraId="697223B6" w14:textId="77777777" w:rsidR="008524DE" w:rsidRPr="00B97B3D" w:rsidRDefault="008524DE" w:rsidP="008524DE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>1.</w:t>
      </w:r>
      <w:r w:rsidRPr="00B97B3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Sharkey L.L., McNemar M.D., Saporito-Irwin S.M., Sypherd P.S., Fonzi W.A. 1999.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14"/>
          <w:szCs w:val="14"/>
        </w:rPr>
        <w:t xml:space="preserve">HWP1 </w:t>
      </w: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functions in the morphological development of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14"/>
          <w:szCs w:val="14"/>
        </w:rPr>
        <w:t xml:space="preserve">Candida albicans </w:t>
      </w: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downstream of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14"/>
          <w:szCs w:val="14"/>
        </w:rPr>
        <w:t>EFG1</w:t>
      </w: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,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14"/>
          <w:szCs w:val="14"/>
        </w:rPr>
        <w:t>TUP1</w:t>
      </w: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, and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14"/>
          <w:szCs w:val="14"/>
        </w:rPr>
        <w:t>RBF1</w:t>
      </w: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. J Bacteriol. </w:t>
      </w:r>
      <w:r w:rsidRPr="00B97B3D"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  <w:t>181</w:t>
      </w: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(17):5273-5279 </w:t>
      </w:r>
    </w:p>
    <w:p w14:paraId="5AD0F7A0" w14:textId="77777777" w:rsidR="008524DE" w:rsidRPr="00B97B3D" w:rsidRDefault="008524DE" w:rsidP="008524D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Koehler J.R., Hube B., Puccia R., Casadevall A., Perfect J.R. 2017. Fungi that infect humans. Microbiol Spectrum </w:t>
      </w:r>
      <w:r w:rsidRPr="00B97B3D"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  <w:t>5</w:t>
      </w: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(3):1-29.  </w:t>
      </w:r>
    </w:p>
    <w:p w14:paraId="1DB88E4B" w14:textId="231DABC0" w:rsidR="008524DE" w:rsidRPr="00B97B3D" w:rsidRDefault="008524DE" w:rsidP="008524D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Dadar M., Tiwari R., Karthik K., Chakraborty S., Shahali Y., Dhama K. 2018.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14"/>
          <w:szCs w:val="14"/>
        </w:rPr>
        <w:t>Candida albicans</w:t>
      </w: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—Biology, molecular characterization, pathogenicity, and advances in diagnosis and control—An update. Microb. Pathog. </w:t>
      </w:r>
      <w:r w:rsidRPr="00B97B3D"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  <w:t>117</w:t>
      </w: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(2018):128-138. </w:t>
      </w:r>
    </w:p>
    <w:p w14:paraId="21C1CE8D" w14:textId="0B0AAD7D" w:rsidR="0080015F" w:rsidRPr="00B97B3D" w:rsidRDefault="00B97B3D" w:rsidP="00710E65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>James T. Robinson, Helga Thorvaldsdóttir, Wendy Winckler, Mitchell Guttman, Eric S. Lander, Gad Getz, Jill P. Mesirov.</w:t>
      </w:r>
      <w:hyperlink r:id="rId8" w:history="1">
        <w:r w:rsidRPr="00B97B3D">
          <w:rPr>
            <w:rStyle w:val="Hyperlink"/>
            <w:rFonts w:ascii="Times New Roman" w:hAnsi="Times New Roman" w:cs="Times New Roman"/>
            <w:color w:val="000000" w:themeColor="text1"/>
            <w:sz w:val="14"/>
            <w:szCs w:val="14"/>
          </w:rPr>
          <w:t> </w:t>
        </w:r>
        <w:r w:rsidRPr="00B97B3D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14"/>
            <w:szCs w:val="14"/>
          </w:rPr>
          <w:t>Integrative Genomics Viewer</w:t>
        </w:r>
        <w:r w:rsidRPr="00B97B3D">
          <w:rPr>
            <w:rStyle w:val="Hyperlink"/>
            <w:rFonts w:ascii="Times New Roman" w:hAnsi="Times New Roman" w:cs="Times New Roman"/>
            <w:color w:val="000000" w:themeColor="text1"/>
            <w:sz w:val="14"/>
            <w:szCs w:val="14"/>
          </w:rPr>
          <w:t>. Nature Biotechnology 29, 24–26 (2011)</w:t>
        </w:r>
      </w:hyperlink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. (Free PMC article </w:t>
      </w:r>
      <w:hyperlink r:id="rId9" w:history="1">
        <w:r w:rsidRPr="00B97B3D">
          <w:rPr>
            <w:rStyle w:val="Hyperlink"/>
            <w:rFonts w:ascii="Times New Roman" w:hAnsi="Times New Roman" w:cs="Times New Roman"/>
            <w:color w:val="000000" w:themeColor="text1"/>
            <w:sz w:val="14"/>
            <w:szCs w:val="14"/>
          </w:rPr>
          <w:t>here</w:t>
        </w:r>
      </w:hyperlink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>).</w:t>
      </w:r>
    </w:p>
    <w:p w14:paraId="6F501B72" w14:textId="51C424C1" w:rsidR="00B97B3D" w:rsidRPr="00B97B3D" w:rsidRDefault="00B97B3D" w:rsidP="00710E65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Skrzypek MS, Binkley J, Binkley G, Miyasato SR, Simison M, Sherlock G (2017). The Candida Genome Database (CGD): incorporation of Assembly 22, systematic identifiers and visualization of high throughput sequencing data. </w:t>
      </w:r>
      <w:r w:rsidRPr="00B97B3D">
        <w:rPr>
          <w:rFonts w:ascii="Times New Roman" w:hAnsi="Times New Roman" w:cs="Times New Roman"/>
          <w:i/>
          <w:iCs/>
          <w:color w:val="000000" w:themeColor="text1"/>
          <w:sz w:val="14"/>
          <w:szCs w:val="14"/>
        </w:rPr>
        <w:t>Nucleic Acids Res</w:t>
      </w: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B97B3D"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  <w:t>45</w:t>
      </w:r>
      <w:r w:rsidRPr="00B97B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(D1); D592-D596.</w:t>
      </w:r>
    </w:p>
    <w:sectPr w:rsidR="00B97B3D" w:rsidRPr="00B97B3D" w:rsidSect="001641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8689C"/>
    <w:multiLevelType w:val="multilevel"/>
    <w:tmpl w:val="025A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65"/>
    <w:rsid w:val="00164165"/>
    <w:rsid w:val="00173AA2"/>
    <w:rsid w:val="001B543E"/>
    <w:rsid w:val="00204A99"/>
    <w:rsid w:val="00280E5F"/>
    <w:rsid w:val="0035102F"/>
    <w:rsid w:val="003E674C"/>
    <w:rsid w:val="00423522"/>
    <w:rsid w:val="00431E7A"/>
    <w:rsid w:val="004F6AF2"/>
    <w:rsid w:val="00535C50"/>
    <w:rsid w:val="00710E65"/>
    <w:rsid w:val="0080015F"/>
    <w:rsid w:val="00805741"/>
    <w:rsid w:val="008524DE"/>
    <w:rsid w:val="00864255"/>
    <w:rsid w:val="008F1604"/>
    <w:rsid w:val="00953848"/>
    <w:rsid w:val="009F1354"/>
    <w:rsid w:val="00AB5735"/>
    <w:rsid w:val="00AF52F9"/>
    <w:rsid w:val="00B1249D"/>
    <w:rsid w:val="00B97B3D"/>
    <w:rsid w:val="00BA2A5F"/>
    <w:rsid w:val="00BC4918"/>
    <w:rsid w:val="00C073B5"/>
    <w:rsid w:val="00D228A3"/>
    <w:rsid w:val="00D24C30"/>
    <w:rsid w:val="00DE7E8F"/>
    <w:rsid w:val="00E24ACB"/>
    <w:rsid w:val="00ED6A03"/>
    <w:rsid w:val="00F56620"/>
    <w:rsid w:val="00F70A26"/>
    <w:rsid w:val="00FE0FA5"/>
    <w:rsid w:val="00F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49B3"/>
  <w15:chartTrackingRefBased/>
  <w15:docId w15:val="{121D7CB1-6DE5-5F4E-804A-FB236C3E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4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1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16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165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A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0A2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0A2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97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nbt/journal/v29/n1/abs/nbt.1754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cbi.nlm.nih.gov/pmc/articles/PMC33461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350EEE769BA49B725682EE5C7FDED" ma:contentTypeVersion="30" ma:contentTypeDescription="Create a new document." ma:contentTypeScope="" ma:versionID="3038627cb55397a6cc374241816f2987">
  <xsd:schema xmlns:xsd="http://www.w3.org/2001/XMLSchema" xmlns:xs="http://www.w3.org/2001/XMLSchema" xmlns:p="http://schemas.microsoft.com/office/2006/metadata/properties" xmlns:ns3="316e0a6c-618f-4986-8531-dd4f29d4b39c" xmlns:ns4="0da05fbb-4f3a-4a8e-ae69-d95310997e94" targetNamespace="http://schemas.microsoft.com/office/2006/metadata/properties" ma:root="true" ma:fieldsID="27f518d933d1fabdd1102ea17ee33d51" ns3:_="" ns4:_="">
    <xsd:import namespace="316e0a6c-618f-4986-8531-dd4f29d4b39c"/>
    <xsd:import namespace="0da05fbb-4f3a-4a8e-ae69-d95310997e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e0a6c-618f-4986-8531-dd4f29d4b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5fbb-4f3a-4a8e-ae69-d95310997e94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316e0a6c-618f-4986-8531-dd4f29d4b39c" xsi:nil="true"/>
    <IsNotebookLocked xmlns="316e0a6c-618f-4986-8531-dd4f29d4b39c" xsi:nil="true"/>
    <FolderType xmlns="316e0a6c-618f-4986-8531-dd4f29d4b39c" xsi:nil="true"/>
    <CultureName xmlns="316e0a6c-618f-4986-8531-dd4f29d4b39c" xsi:nil="true"/>
    <Student_Groups xmlns="316e0a6c-618f-4986-8531-dd4f29d4b39c">
      <UserInfo>
        <DisplayName/>
        <AccountId xsi:nil="true"/>
        <AccountType/>
      </UserInfo>
    </Student_Groups>
    <Self_Registration_Enabled xmlns="316e0a6c-618f-4986-8531-dd4f29d4b39c" xsi:nil="true"/>
    <DefaultSectionNames xmlns="316e0a6c-618f-4986-8531-dd4f29d4b39c" xsi:nil="true"/>
    <NotebookType xmlns="316e0a6c-618f-4986-8531-dd4f29d4b39c" xsi:nil="true"/>
    <Teachers xmlns="316e0a6c-618f-4986-8531-dd4f29d4b39c">
      <UserInfo>
        <DisplayName/>
        <AccountId xsi:nil="true"/>
        <AccountType/>
      </UserInfo>
    </Teachers>
    <Templates xmlns="316e0a6c-618f-4986-8531-dd4f29d4b39c" xsi:nil="true"/>
    <TeamsChannelId xmlns="316e0a6c-618f-4986-8531-dd4f29d4b39c" xsi:nil="true"/>
    <Invited_Teachers xmlns="316e0a6c-618f-4986-8531-dd4f29d4b39c" xsi:nil="true"/>
    <Owner xmlns="316e0a6c-618f-4986-8531-dd4f29d4b39c">
      <UserInfo>
        <DisplayName/>
        <AccountId xsi:nil="true"/>
        <AccountType/>
      </UserInfo>
    </Owner>
    <Students xmlns="316e0a6c-618f-4986-8531-dd4f29d4b39c">
      <UserInfo>
        <DisplayName/>
        <AccountId xsi:nil="true"/>
        <AccountType/>
      </UserInfo>
    </Students>
    <Has_Teacher_Only_SectionGroup xmlns="316e0a6c-618f-4986-8531-dd4f29d4b39c" xsi:nil="true"/>
    <Is_Collaboration_Space_Locked xmlns="316e0a6c-618f-4986-8531-dd4f29d4b39c" xsi:nil="true"/>
    <AppVersion xmlns="316e0a6c-618f-4986-8531-dd4f29d4b39c" xsi:nil="true"/>
  </documentManagement>
</p:properties>
</file>

<file path=customXml/itemProps1.xml><?xml version="1.0" encoding="utf-8"?>
<ds:datastoreItem xmlns:ds="http://schemas.openxmlformats.org/officeDocument/2006/customXml" ds:itemID="{ABB027A5-24A5-4C3A-BA04-DF01C5F18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e0a6c-618f-4986-8531-dd4f29d4b39c"/>
    <ds:schemaRef ds:uri="0da05fbb-4f3a-4a8e-ae69-d95310997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C2CEF-648A-4836-8D04-6AFE7E284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16E7D-D9B0-4C5D-B10F-E3A7C6911D42}">
  <ds:schemaRefs>
    <ds:schemaRef ds:uri="http://purl.org/dc/dcmitype/"/>
    <ds:schemaRef ds:uri="http://purl.org/dc/terms/"/>
    <ds:schemaRef ds:uri="316e0a6c-618f-4986-8531-dd4f29d4b39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da05fbb-4f3a-4a8e-ae69-d95310997e94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</Words>
  <Characters>5183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Hovan</dc:creator>
  <cp:keywords/>
  <dc:description/>
  <cp:lastModifiedBy>Gina Pappas</cp:lastModifiedBy>
  <cp:revision>2</cp:revision>
  <dcterms:created xsi:type="dcterms:W3CDTF">2020-08-31T19:20:00Z</dcterms:created>
  <dcterms:modified xsi:type="dcterms:W3CDTF">2020-08-31T19:20:00Z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0x01010048E350EEE769BA49B725682EE5C7FDED</vt:lpwstr>
  </property>
</Properties>
</file>