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DB01" w14:textId="77777777" w:rsidR="00DA18C3" w:rsidRDefault="00DA18C3" w:rsidP="00DA18C3">
      <w:pPr>
        <w:pStyle w:val="BodyText"/>
        <w:ind w:left="3615"/>
        <w:rPr>
          <w:sz w:val="20"/>
        </w:rPr>
      </w:pPr>
      <w:r>
        <w:rPr>
          <w:noProof/>
          <w:sz w:val="20"/>
        </w:rPr>
        <w:drawing>
          <wp:inline distT="0" distB="0" distL="0" distR="0" wp14:anchorId="3A13355D" wp14:editId="33351C53">
            <wp:extent cx="2059940" cy="14931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78439" cy="1506544"/>
                    </a:xfrm>
                    <a:prstGeom prst="rect">
                      <a:avLst/>
                    </a:prstGeom>
                  </pic:spPr>
                </pic:pic>
              </a:graphicData>
            </a:graphic>
          </wp:inline>
        </w:drawing>
      </w:r>
    </w:p>
    <w:p w14:paraId="770196D8" w14:textId="77777777" w:rsidR="00DA18C3" w:rsidRDefault="00DA18C3" w:rsidP="00DA18C3">
      <w:pPr>
        <w:pStyle w:val="BodyText"/>
        <w:spacing w:before="3"/>
        <w:rPr>
          <w:sz w:val="25"/>
        </w:rPr>
      </w:pPr>
    </w:p>
    <w:p w14:paraId="1304C260" w14:textId="77777777" w:rsidR="00DA18C3" w:rsidRPr="0033143F" w:rsidRDefault="00DA18C3" w:rsidP="00DA18C3">
      <w:pPr>
        <w:spacing w:before="85"/>
        <w:rPr>
          <w:b/>
          <w:sz w:val="36"/>
        </w:rPr>
      </w:pPr>
      <w:r w:rsidRPr="0033143F">
        <w:rPr>
          <w:b/>
          <w:sz w:val="36"/>
        </w:rPr>
        <w:t>Bowdoin College Athletic Insurance</w:t>
      </w:r>
      <w:r>
        <w:rPr>
          <w:b/>
          <w:sz w:val="36"/>
        </w:rPr>
        <w:t xml:space="preserve"> Claims Submission Instructions</w:t>
      </w:r>
    </w:p>
    <w:p w14:paraId="38A1918D" w14:textId="77777777" w:rsidR="00DA18C3" w:rsidRDefault="00DA18C3" w:rsidP="00DA18C3">
      <w:pPr>
        <w:pStyle w:val="BodyText"/>
        <w:spacing w:before="2"/>
        <w:rPr>
          <w:sz w:val="16"/>
        </w:rPr>
      </w:pPr>
    </w:p>
    <w:p w14:paraId="29599C4D" w14:textId="77777777" w:rsidR="00DA18C3" w:rsidRDefault="00DA18C3" w:rsidP="00DA18C3">
      <w:pPr>
        <w:pStyle w:val="BodyText"/>
        <w:spacing w:before="2"/>
        <w:rPr>
          <w:b/>
          <w:sz w:val="16"/>
        </w:rPr>
      </w:pPr>
    </w:p>
    <w:p w14:paraId="6DCDF3C9" w14:textId="77777777" w:rsidR="00DA18C3" w:rsidRPr="00DA18C3" w:rsidRDefault="00DA18C3" w:rsidP="00DA18C3">
      <w:pPr>
        <w:pStyle w:val="ListParagraph"/>
        <w:numPr>
          <w:ilvl w:val="0"/>
          <w:numId w:val="1"/>
        </w:numPr>
        <w:tabs>
          <w:tab w:val="left" w:pos="1380"/>
        </w:tabs>
        <w:spacing w:before="90"/>
        <w:ind w:right="453"/>
        <w:rPr>
          <w:sz w:val="24"/>
          <w:szCs w:val="24"/>
        </w:rPr>
      </w:pPr>
      <w:r w:rsidRPr="00DA18C3">
        <w:rPr>
          <w:sz w:val="24"/>
          <w:szCs w:val="24"/>
        </w:rPr>
        <w:t>Submit medical charges to any other insurance policy the patient is covered under first (</w:t>
      </w:r>
      <w:proofErr w:type="gramStart"/>
      <w:r w:rsidRPr="00DA18C3">
        <w:rPr>
          <w:sz w:val="24"/>
          <w:szCs w:val="24"/>
        </w:rPr>
        <w:t>regardless</w:t>
      </w:r>
      <w:proofErr w:type="gramEnd"/>
      <w:r w:rsidRPr="00DA18C3">
        <w:rPr>
          <w:sz w:val="24"/>
          <w:szCs w:val="24"/>
        </w:rPr>
        <w:t xml:space="preserve"> if the patient is the primary member or a</w:t>
      </w:r>
      <w:r w:rsidRPr="00DA18C3">
        <w:rPr>
          <w:spacing w:val="-17"/>
          <w:sz w:val="24"/>
          <w:szCs w:val="24"/>
        </w:rPr>
        <w:t xml:space="preserve"> </w:t>
      </w:r>
      <w:r w:rsidRPr="00DA18C3">
        <w:rPr>
          <w:sz w:val="24"/>
          <w:szCs w:val="24"/>
        </w:rPr>
        <w:t>dependent);</w:t>
      </w:r>
    </w:p>
    <w:p w14:paraId="110E609B" w14:textId="77777777" w:rsidR="00DA18C3" w:rsidRPr="00DA18C3" w:rsidRDefault="00DA18C3" w:rsidP="00DA18C3">
      <w:pPr>
        <w:pStyle w:val="BodyText"/>
      </w:pPr>
    </w:p>
    <w:p w14:paraId="6F9CD413" w14:textId="74B32C41" w:rsidR="00DA18C3" w:rsidRPr="00DA18C3" w:rsidRDefault="00DA18C3" w:rsidP="00DA18C3">
      <w:pPr>
        <w:ind w:left="1380" w:right="485"/>
        <w:rPr>
          <w:sz w:val="24"/>
          <w:szCs w:val="24"/>
        </w:rPr>
      </w:pPr>
      <w:r w:rsidRPr="00DA18C3">
        <w:rPr>
          <w:sz w:val="24"/>
          <w:szCs w:val="24"/>
        </w:rPr>
        <w:t>**</w:t>
      </w:r>
      <w:proofErr w:type="gramStart"/>
      <w:r w:rsidRPr="00DA18C3">
        <w:rPr>
          <w:sz w:val="24"/>
          <w:szCs w:val="24"/>
        </w:rPr>
        <w:t>In order to</w:t>
      </w:r>
      <w:proofErr w:type="gramEnd"/>
      <w:r w:rsidRPr="00DA18C3">
        <w:rPr>
          <w:sz w:val="24"/>
          <w:szCs w:val="24"/>
        </w:rPr>
        <w:t xml:space="preserve"> ensure the smooth payment of medical claims, </w:t>
      </w:r>
      <w:r w:rsidRPr="00DA18C3">
        <w:rPr>
          <w:b/>
          <w:sz w:val="24"/>
          <w:szCs w:val="24"/>
        </w:rPr>
        <w:t xml:space="preserve">we recommend student-athletes </w:t>
      </w:r>
      <w:r w:rsidRPr="00DA18C3">
        <w:rPr>
          <w:b/>
          <w:sz w:val="24"/>
          <w:szCs w:val="24"/>
          <w:u w:val="thick"/>
        </w:rPr>
        <w:t>always</w:t>
      </w:r>
      <w:r w:rsidRPr="00DA18C3">
        <w:rPr>
          <w:b/>
          <w:sz w:val="24"/>
          <w:szCs w:val="24"/>
        </w:rPr>
        <w:t xml:space="preserve"> provide each medical provider the plan information </w:t>
      </w:r>
      <w:r w:rsidRPr="00DA18C3">
        <w:rPr>
          <w:b/>
          <w:sz w:val="24"/>
          <w:szCs w:val="24"/>
          <w:u w:val="thick"/>
        </w:rPr>
        <w:t>prior</w:t>
      </w:r>
      <w:r w:rsidRPr="00DA18C3">
        <w:rPr>
          <w:b/>
          <w:sz w:val="24"/>
          <w:szCs w:val="24"/>
        </w:rPr>
        <w:t xml:space="preserve"> to each visit</w:t>
      </w:r>
      <w:r w:rsidRPr="00DA18C3">
        <w:rPr>
          <w:sz w:val="24"/>
          <w:szCs w:val="24"/>
        </w:rPr>
        <w:t>. To assist with this, we have provided all pertinent policy and claim submission information**</w:t>
      </w:r>
    </w:p>
    <w:p w14:paraId="6E80DED3" w14:textId="77777777" w:rsidR="00DA18C3" w:rsidRPr="00DA18C3" w:rsidRDefault="00DA18C3" w:rsidP="00DA18C3">
      <w:pPr>
        <w:ind w:left="1380" w:right="485"/>
        <w:rPr>
          <w:sz w:val="24"/>
          <w:szCs w:val="24"/>
        </w:rPr>
      </w:pPr>
    </w:p>
    <w:p w14:paraId="60F143A7" w14:textId="77777777" w:rsidR="00DA18C3" w:rsidRPr="00DA18C3" w:rsidRDefault="00DA18C3" w:rsidP="00DA18C3">
      <w:pPr>
        <w:pStyle w:val="ListParagraph"/>
        <w:numPr>
          <w:ilvl w:val="0"/>
          <w:numId w:val="1"/>
        </w:numPr>
        <w:tabs>
          <w:tab w:val="left" w:pos="1380"/>
        </w:tabs>
        <w:spacing w:before="60"/>
        <w:ind w:right="407"/>
        <w:rPr>
          <w:sz w:val="24"/>
          <w:szCs w:val="24"/>
        </w:rPr>
      </w:pPr>
      <w:r w:rsidRPr="00DA18C3">
        <w:rPr>
          <w:sz w:val="24"/>
          <w:szCs w:val="24"/>
        </w:rPr>
        <w:t>Once a response is received, submit a valid HCFA-1500 or UB92/04, along with</w:t>
      </w:r>
      <w:r w:rsidRPr="00DA18C3">
        <w:rPr>
          <w:spacing w:val="-34"/>
          <w:sz w:val="24"/>
          <w:szCs w:val="24"/>
        </w:rPr>
        <w:t xml:space="preserve"> </w:t>
      </w:r>
      <w:r w:rsidRPr="00DA18C3">
        <w:rPr>
          <w:sz w:val="24"/>
          <w:szCs w:val="24"/>
        </w:rPr>
        <w:t xml:space="preserve">a copy of primary insurance Explanation of Benefits, directly to our </w:t>
      </w:r>
      <w:proofErr w:type="gramStart"/>
      <w:r w:rsidRPr="00DA18C3">
        <w:rPr>
          <w:sz w:val="24"/>
          <w:szCs w:val="24"/>
        </w:rPr>
        <w:t>claims</w:t>
      </w:r>
      <w:proofErr w:type="gramEnd"/>
      <w:r w:rsidRPr="00DA18C3">
        <w:rPr>
          <w:sz w:val="24"/>
          <w:szCs w:val="24"/>
        </w:rPr>
        <w:t xml:space="preserve"> administrator</w:t>
      </w:r>
      <w:r w:rsidRPr="00DA18C3">
        <w:rPr>
          <w:spacing w:val="-2"/>
          <w:sz w:val="24"/>
          <w:szCs w:val="24"/>
        </w:rPr>
        <w:t xml:space="preserve"> </w:t>
      </w:r>
      <w:r w:rsidRPr="00DA18C3">
        <w:rPr>
          <w:sz w:val="24"/>
          <w:szCs w:val="24"/>
        </w:rPr>
        <w:t>at:</w:t>
      </w:r>
    </w:p>
    <w:p w14:paraId="22BD5960" w14:textId="77777777" w:rsidR="00DA18C3" w:rsidRPr="00DA18C3" w:rsidRDefault="00DA18C3" w:rsidP="00DA18C3">
      <w:pPr>
        <w:pStyle w:val="BodyText"/>
      </w:pPr>
    </w:p>
    <w:p w14:paraId="0E221EA0" w14:textId="77777777" w:rsidR="00DA18C3" w:rsidRDefault="00DA18C3" w:rsidP="00DA18C3">
      <w:pPr>
        <w:ind w:left="2640" w:right="4560"/>
        <w:rPr>
          <w:b/>
          <w:sz w:val="24"/>
          <w:szCs w:val="24"/>
        </w:rPr>
      </w:pPr>
      <w:r w:rsidRPr="00DA18C3">
        <w:rPr>
          <w:b/>
          <w:sz w:val="24"/>
          <w:szCs w:val="24"/>
        </w:rPr>
        <w:t xml:space="preserve">NAHGA Claim Services </w:t>
      </w:r>
    </w:p>
    <w:p w14:paraId="76B11285" w14:textId="18B5B65F" w:rsidR="00DA18C3" w:rsidRPr="00DA18C3" w:rsidRDefault="00DA18C3" w:rsidP="00DA18C3">
      <w:pPr>
        <w:ind w:left="2640" w:right="4560"/>
        <w:rPr>
          <w:b/>
          <w:sz w:val="24"/>
          <w:szCs w:val="24"/>
        </w:rPr>
      </w:pPr>
      <w:r w:rsidRPr="00DA18C3">
        <w:rPr>
          <w:b/>
          <w:sz w:val="24"/>
          <w:szCs w:val="24"/>
        </w:rPr>
        <w:t>PO Box 189</w:t>
      </w:r>
    </w:p>
    <w:p w14:paraId="02207CCB" w14:textId="77777777" w:rsidR="00DA18C3" w:rsidRPr="00DA18C3" w:rsidRDefault="00DA18C3" w:rsidP="00DA18C3">
      <w:pPr>
        <w:ind w:left="2640"/>
        <w:rPr>
          <w:b/>
          <w:sz w:val="24"/>
          <w:szCs w:val="24"/>
        </w:rPr>
      </w:pPr>
      <w:r w:rsidRPr="00DA18C3">
        <w:rPr>
          <w:b/>
          <w:sz w:val="24"/>
          <w:szCs w:val="24"/>
        </w:rPr>
        <w:t>Bridgton, Maine 04009-0189</w:t>
      </w:r>
    </w:p>
    <w:p w14:paraId="3360309E" w14:textId="77777777" w:rsidR="00DA18C3" w:rsidRPr="00DA18C3" w:rsidRDefault="00DA18C3" w:rsidP="00DA18C3">
      <w:pPr>
        <w:ind w:left="2640"/>
        <w:rPr>
          <w:b/>
          <w:sz w:val="24"/>
          <w:szCs w:val="24"/>
        </w:rPr>
      </w:pPr>
      <w:r w:rsidRPr="00DA18C3">
        <w:rPr>
          <w:b/>
          <w:sz w:val="24"/>
          <w:szCs w:val="24"/>
        </w:rPr>
        <w:t>Phone: (800) 952-4320</w:t>
      </w:r>
    </w:p>
    <w:p w14:paraId="0C35F213" w14:textId="1C1F0C08" w:rsidR="00DA18C3" w:rsidRPr="00DA18C3" w:rsidRDefault="00DA18C3" w:rsidP="00DA18C3">
      <w:pPr>
        <w:tabs>
          <w:tab w:val="left" w:pos="4439"/>
        </w:tabs>
        <w:ind w:left="2640" w:right="3885"/>
        <w:rPr>
          <w:b/>
          <w:sz w:val="24"/>
          <w:szCs w:val="24"/>
        </w:rPr>
      </w:pPr>
      <w:r w:rsidRPr="00DA18C3">
        <w:rPr>
          <w:b/>
          <w:sz w:val="24"/>
          <w:szCs w:val="24"/>
        </w:rPr>
        <w:t>Group</w:t>
      </w:r>
      <w:r w:rsidRPr="00DA18C3">
        <w:rPr>
          <w:b/>
          <w:spacing w:val="-2"/>
          <w:sz w:val="24"/>
          <w:szCs w:val="24"/>
        </w:rPr>
        <w:t xml:space="preserve"> </w:t>
      </w:r>
      <w:r w:rsidRPr="00DA18C3">
        <w:rPr>
          <w:b/>
          <w:sz w:val="24"/>
          <w:szCs w:val="24"/>
        </w:rPr>
        <w:t>Name:</w:t>
      </w:r>
      <w:r>
        <w:rPr>
          <w:b/>
          <w:sz w:val="24"/>
          <w:szCs w:val="24"/>
        </w:rPr>
        <w:t xml:space="preserve"> </w:t>
      </w:r>
      <w:r w:rsidRPr="00DA18C3">
        <w:rPr>
          <w:b/>
          <w:sz w:val="24"/>
          <w:szCs w:val="24"/>
        </w:rPr>
        <w:t>BOW20</w:t>
      </w:r>
      <w:r w:rsidR="00171827">
        <w:rPr>
          <w:b/>
          <w:sz w:val="24"/>
          <w:szCs w:val="24"/>
        </w:rPr>
        <w:t>2</w:t>
      </w:r>
      <w:r w:rsidR="0025481F">
        <w:rPr>
          <w:b/>
          <w:sz w:val="24"/>
          <w:szCs w:val="24"/>
        </w:rPr>
        <w:t>3</w:t>
      </w:r>
      <w:r w:rsidR="00171827">
        <w:rPr>
          <w:b/>
          <w:sz w:val="24"/>
          <w:szCs w:val="24"/>
        </w:rPr>
        <w:t>2</w:t>
      </w:r>
      <w:r w:rsidR="0025481F">
        <w:rPr>
          <w:b/>
          <w:sz w:val="24"/>
          <w:szCs w:val="24"/>
        </w:rPr>
        <w:t>4</w:t>
      </w:r>
      <w:r w:rsidRPr="00DA18C3">
        <w:rPr>
          <w:b/>
          <w:sz w:val="24"/>
          <w:szCs w:val="24"/>
        </w:rPr>
        <w:t xml:space="preserve"> Policy Number:</w:t>
      </w:r>
      <w:r w:rsidRPr="00DA18C3">
        <w:rPr>
          <w:b/>
          <w:spacing w:val="43"/>
          <w:sz w:val="24"/>
          <w:szCs w:val="24"/>
        </w:rPr>
        <w:t xml:space="preserve"> </w:t>
      </w:r>
      <w:r w:rsidRPr="00DA18C3">
        <w:rPr>
          <w:b/>
          <w:sz w:val="24"/>
          <w:szCs w:val="24"/>
        </w:rPr>
        <w:t>PHPA</w:t>
      </w:r>
      <w:r w:rsidR="00171827">
        <w:rPr>
          <w:b/>
          <w:sz w:val="24"/>
          <w:szCs w:val="24"/>
        </w:rPr>
        <w:t>115595</w:t>
      </w:r>
    </w:p>
    <w:p w14:paraId="0C9470C3" w14:textId="77777777" w:rsidR="00DA18C3" w:rsidRPr="00DA18C3" w:rsidRDefault="00DA18C3" w:rsidP="00DA18C3">
      <w:pPr>
        <w:pStyle w:val="BodyText"/>
        <w:rPr>
          <w:b/>
        </w:rPr>
      </w:pPr>
    </w:p>
    <w:p w14:paraId="35B6A29C" w14:textId="77777777" w:rsidR="00DA18C3" w:rsidRPr="00DA18C3" w:rsidRDefault="00DA18C3" w:rsidP="00DA18C3">
      <w:pPr>
        <w:pStyle w:val="BodyText"/>
        <w:rPr>
          <w:b/>
        </w:rPr>
      </w:pPr>
    </w:p>
    <w:p w14:paraId="3A89163C" w14:textId="77777777" w:rsidR="00DA18C3" w:rsidRPr="00DA18C3" w:rsidRDefault="00DA18C3" w:rsidP="00DA18C3">
      <w:pPr>
        <w:ind w:left="660"/>
        <w:rPr>
          <w:b/>
          <w:sz w:val="24"/>
          <w:szCs w:val="24"/>
        </w:rPr>
      </w:pPr>
      <w:r w:rsidRPr="00DA18C3">
        <w:rPr>
          <w:b/>
          <w:sz w:val="24"/>
          <w:szCs w:val="24"/>
        </w:rPr>
        <w:t xml:space="preserve">            **Electronic Claims Submissions can be sent to NAHGA using Payer ID 67788**</w:t>
      </w:r>
    </w:p>
    <w:p w14:paraId="3826D44A" w14:textId="77777777" w:rsidR="00DA18C3" w:rsidRPr="00DA18C3" w:rsidRDefault="00DA18C3" w:rsidP="00DA18C3">
      <w:pPr>
        <w:pStyle w:val="BodyText"/>
        <w:rPr>
          <w:b/>
        </w:rPr>
      </w:pPr>
    </w:p>
    <w:p w14:paraId="44AAE237" w14:textId="77777777" w:rsidR="00DA18C3" w:rsidRPr="00DA18C3" w:rsidRDefault="00DA18C3" w:rsidP="00DA18C3">
      <w:pPr>
        <w:pStyle w:val="ListParagraph"/>
        <w:numPr>
          <w:ilvl w:val="0"/>
          <w:numId w:val="1"/>
        </w:numPr>
        <w:tabs>
          <w:tab w:val="left" w:pos="1380"/>
        </w:tabs>
        <w:ind w:right="425"/>
        <w:rPr>
          <w:sz w:val="24"/>
          <w:szCs w:val="24"/>
        </w:rPr>
      </w:pPr>
      <w:r w:rsidRPr="00DA18C3">
        <w:rPr>
          <w:sz w:val="24"/>
          <w:szCs w:val="24"/>
        </w:rPr>
        <w:t>Once the deductible amount has been satisfied, payment will be made directly to the medical provider, unless otherwise requested. For bills that have been paid out of pocket, please forward all receipts and/or proof of payment to NAHGA Claim Services along with the same documentation previously</w:t>
      </w:r>
      <w:r w:rsidRPr="00DA18C3">
        <w:rPr>
          <w:spacing w:val="-4"/>
          <w:sz w:val="24"/>
          <w:szCs w:val="24"/>
        </w:rPr>
        <w:t xml:space="preserve"> </w:t>
      </w:r>
      <w:r w:rsidRPr="00DA18C3">
        <w:rPr>
          <w:sz w:val="24"/>
          <w:szCs w:val="24"/>
        </w:rPr>
        <w:t>outlined.</w:t>
      </w:r>
    </w:p>
    <w:p w14:paraId="6AB52ED2" w14:textId="77777777" w:rsidR="00DA18C3" w:rsidRPr="00DA18C3" w:rsidRDefault="00DA18C3" w:rsidP="00DA18C3">
      <w:pPr>
        <w:pStyle w:val="BodyText"/>
      </w:pPr>
    </w:p>
    <w:p w14:paraId="43D21C22" w14:textId="77777777" w:rsidR="00DA18C3" w:rsidRPr="00DA18C3" w:rsidRDefault="00DA18C3" w:rsidP="00DA18C3">
      <w:pPr>
        <w:pStyle w:val="ListParagraph"/>
        <w:numPr>
          <w:ilvl w:val="0"/>
          <w:numId w:val="1"/>
        </w:numPr>
        <w:tabs>
          <w:tab w:val="left" w:pos="1380"/>
        </w:tabs>
        <w:spacing w:before="1"/>
        <w:ind w:right="817"/>
        <w:rPr>
          <w:sz w:val="24"/>
          <w:szCs w:val="24"/>
        </w:rPr>
      </w:pPr>
      <w:r w:rsidRPr="00DA18C3">
        <w:rPr>
          <w:sz w:val="24"/>
          <w:szCs w:val="24"/>
        </w:rPr>
        <w:t>NAHGA also administers all payments under the accident only plan. All bills need to be submitted to NAHGA or they will not be recorded to satisfy the deductible amount on Bowdoin’s</w:t>
      </w:r>
      <w:r w:rsidRPr="00DA18C3">
        <w:rPr>
          <w:spacing w:val="-2"/>
          <w:sz w:val="24"/>
          <w:szCs w:val="24"/>
        </w:rPr>
        <w:t xml:space="preserve"> </w:t>
      </w:r>
      <w:r w:rsidRPr="00DA18C3">
        <w:rPr>
          <w:sz w:val="24"/>
          <w:szCs w:val="24"/>
        </w:rPr>
        <w:t>policy.</w:t>
      </w:r>
    </w:p>
    <w:p w14:paraId="6E8E2921" w14:textId="77777777" w:rsidR="00DA18C3" w:rsidRPr="00DA18C3" w:rsidRDefault="00DA18C3" w:rsidP="00DA18C3">
      <w:pPr>
        <w:pStyle w:val="BodyText"/>
        <w:spacing w:before="11"/>
      </w:pPr>
    </w:p>
    <w:p w14:paraId="5ECCBC97" w14:textId="77777777" w:rsidR="00DA18C3" w:rsidRPr="00DA18C3" w:rsidRDefault="00DA18C3" w:rsidP="00DA18C3">
      <w:pPr>
        <w:pStyle w:val="ListParagraph"/>
        <w:numPr>
          <w:ilvl w:val="0"/>
          <w:numId w:val="1"/>
        </w:numPr>
        <w:tabs>
          <w:tab w:val="left" w:pos="1380"/>
        </w:tabs>
        <w:rPr>
          <w:sz w:val="24"/>
          <w:szCs w:val="24"/>
        </w:rPr>
      </w:pPr>
      <w:r w:rsidRPr="00DA18C3">
        <w:rPr>
          <w:sz w:val="24"/>
          <w:szCs w:val="24"/>
        </w:rPr>
        <w:t>Contact NAHGA Claim Services (800) 952-4320 with any</w:t>
      </w:r>
      <w:r w:rsidRPr="00DA18C3">
        <w:rPr>
          <w:spacing w:val="-14"/>
          <w:sz w:val="24"/>
          <w:szCs w:val="24"/>
        </w:rPr>
        <w:t xml:space="preserve"> </w:t>
      </w:r>
      <w:r w:rsidRPr="00DA18C3">
        <w:rPr>
          <w:sz w:val="24"/>
          <w:szCs w:val="24"/>
        </w:rPr>
        <w:t>questions.</w:t>
      </w:r>
    </w:p>
    <w:p w14:paraId="6F6BD261" w14:textId="77777777" w:rsidR="00DA18C3" w:rsidRPr="00DA18C3" w:rsidRDefault="00DA18C3" w:rsidP="00DA18C3">
      <w:pPr>
        <w:pStyle w:val="BodyText"/>
        <w:spacing w:before="10"/>
      </w:pPr>
    </w:p>
    <w:p w14:paraId="1672D82A" w14:textId="72B74554" w:rsidR="00DA18C3" w:rsidRPr="00DA18C3" w:rsidRDefault="00DA18C3" w:rsidP="00DA18C3">
      <w:pPr>
        <w:pStyle w:val="ListParagraph"/>
        <w:numPr>
          <w:ilvl w:val="0"/>
          <w:numId w:val="1"/>
        </w:numPr>
        <w:tabs>
          <w:tab w:val="left" w:pos="1439"/>
          <w:tab w:val="left" w:pos="1440"/>
        </w:tabs>
        <w:ind w:left="1439" w:hanging="419"/>
        <w:rPr>
          <w:sz w:val="24"/>
          <w:szCs w:val="24"/>
        </w:rPr>
      </w:pPr>
      <w:r w:rsidRPr="00DA18C3">
        <w:rPr>
          <w:sz w:val="24"/>
          <w:szCs w:val="24"/>
        </w:rPr>
        <w:t>Feel free to sign up for online claims viewing at:</w:t>
      </w:r>
      <w:r w:rsidRPr="00DA18C3">
        <w:rPr>
          <w:color w:val="0000FF"/>
          <w:spacing w:val="45"/>
          <w:sz w:val="24"/>
          <w:szCs w:val="24"/>
        </w:rPr>
        <w:t xml:space="preserve"> </w:t>
      </w:r>
      <w:proofErr w:type="gramStart"/>
      <w:r w:rsidRPr="00DA18C3">
        <w:rPr>
          <w:color w:val="0000FF"/>
          <w:sz w:val="24"/>
          <w:szCs w:val="24"/>
          <w:u w:val="single" w:color="0000FF"/>
        </w:rPr>
        <w:t>https://claims.nahga.com</w:t>
      </w:r>
      <w:proofErr w:type="gramEnd"/>
    </w:p>
    <w:p w14:paraId="7BEB9E20" w14:textId="77777777" w:rsidR="00DA18C3" w:rsidRPr="00DA18C3" w:rsidRDefault="00DA18C3" w:rsidP="00DA18C3">
      <w:pPr>
        <w:pStyle w:val="ListParagraph"/>
        <w:tabs>
          <w:tab w:val="left" w:pos="1439"/>
          <w:tab w:val="left" w:pos="1440"/>
        </w:tabs>
        <w:ind w:left="1439" w:firstLine="0"/>
        <w:rPr>
          <w:sz w:val="24"/>
          <w:szCs w:val="24"/>
        </w:rPr>
      </w:pPr>
    </w:p>
    <w:p w14:paraId="4EDB7FB9" w14:textId="77777777" w:rsidR="00DA18C3" w:rsidRDefault="00DA18C3" w:rsidP="00DA18C3">
      <w:pPr>
        <w:pStyle w:val="BodyText"/>
        <w:rPr>
          <w:sz w:val="16"/>
        </w:rPr>
      </w:pPr>
    </w:p>
    <w:p w14:paraId="23E3E783" w14:textId="55BFCC73" w:rsidR="00CB1DC5" w:rsidRDefault="00DA18C3" w:rsidP="00DA18C3">
      <w:r>
        <w:rPr>
          <w:i/>
          <w:sz w:val="18"/>
        </w:rPr>
        <w:t xml:space="preserve">Disclaimer: Claims submitted under the </w:t>
      </w:r>
      <w:r>
        <w:rPr>
          <w:b/>
          <w:i/>
          <w:sz w:val="18"/>
        </w:rPr>
        <w:t xml:space="preserve">Bowdoin College </w:t>
      </w:r>
      <w:r>
        <w:rPr>
          <w:i/>
          <w:sz w:val="18"/>
        </w:rPr>
        <w:t xml:space="preserve">coverage are subject to all policy limitations and exclusions. This instruction sheet is </w:t>
      </w:r>
      <w:r>
        <w:rPr>
          <w:i/>
          <w:sz w:val="18"/>
          <w:u w:val="single"/>
        </w:rPr>
        <w:t>not</w:t>
      </w:r>
      <w:r>
        <w:rPr>
          <w:i/>
          <w:sz w:val="18"/>
        </w:rPr>
        <w:t xml:space="preserve"> a guarantee of payment, it is intended only to facilitate submission of claims. NAHGA maintains appropriate standards and procedures to prevent unauthorized access to Protected Health Information in compliance with HIPAA. Please contact them at (800) 952-4320 if you wish to view a complete copy of our Privacy Policy.</w:t>
      </w:r>
    </w:p>
    <w:sectPr w:rsidR="00CB1DC5" w:rsidSect="00DA18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038EA"/>
    <w:multiLevelType w:val="hybridMultilevel"/>
    <w:tmpl w:val="74ECE85E"/>
    <w:lvl w:ilvl="0" w:tplc="0DCA641C">
      <w:start w:val="1"/>
      <w:numFmt w:val="decimal"/>
      <w:lvlText w:val="%1."/>
      <w:lvlJc w:val="left"/>
      <w:pPr>
        <w:ind w:left="1380" w:hanging="360"/>
        <w:jc w:val="left"/>
      </w:pPr>
      <w:rPr>
        <w:rFonts w:ascii="Times New Roman" w:eastAsia="Times New Roman" w:hAnsi="Times New Roman" w:cs="Times New Roman" w:hint="default"/>
        <w:spacing w:val="-2"/>
        <w:w w:val="100"/>
        <w:sz w:val="24"/>
        <w:szCs w:val="24"/>
      </w:rPr>
    </w:lvl>
    <w:lvl w:ilvl="1" w:tplc="07A81476">
      <w:numFmt w:val="bullet"/>
      <w:lvlText w:val="•"/>
      <w:lvlJc w:val="left"/>
      <w:pPr>
        <w:ind w:left="2212" w:hanging="360"/>
      </w:pPr>
      <w:rPr>
        <w:rFonts w:hint="default"/>
      </w:rPr>
    </w:lvl>
    <w:lvl w:ilvl="2" w:tplc="4F1436CE">
      <w:numFmt w:val="bullet"/>
      <w:lvlText w:val="•"/>
      <w:lvlJc w:val="left"/>
      <w:pPr>
        <w:ind w:left="3044" w:hanging="360"/>
      </w:pPr>
      <w:rPr>
        <w:rFonts w:hint="default"/>
      </w:rPr>
    </w:lvl>
    <w:lvl w:ilvl="3" w:tplc="04E2B096">
      <w:numFmt w:val="bullet"/>
      <w:lvlText w:val="•"/>
      <w:lvlJc w:val="left"/>
      <w:pPr>
        <w:ind w:left="3876" w:hanging="360"/>
      </w:pPr>
      <w:rPr>
        <w:rFonts w:hint="default"/>
      </w:rPr>
    </w:lvl>
    <w:lvl w:ilvl="4" w:tplc="F61654B0">
      <w:numFmt w:val="bullet"/>
      <w:lvlText w:val="•"/>
      <w:lvlJc w:val="left"/>
      <w:pPr>
        <w:ind w:left="4708" w:hanging="360"/>
      </w:pPr>
      <w:rPr>
        <w:rFonts w:hint="default"/>
      </w:rPr>
    </w:lvl>
    <w:lvl w:ilvl="5" w:tplc="4AFE58E6">
      <w:numFmt w:val="bullet"/>
      <w:lvlText w:val="•"/>
      <w:lvlJc w:val="left"/>
      <w:pPr>
        <w:ind w:left="5540" w:hanging="360"/>
      </w:pPr>
      <w:rPr>
        <w:rFonts w:hint="default"/>
      </w:rPr>
    </w:lvl>
    <w:lvl w:ilvl="6" w:tplc="C6FE9A7A">
      <w:numFmt w:val="bullet"/>
      <w:lvlText w:val="•"/>
      <w:lvlJc w:val="left"/>
      <w:pPr>
        <w:ind w:left="6372" w:hanging="360"/>
      </w:pPr>
      <w:rPr>
        <w:rFonts w:hint="default"/>
      </w:rPr>
    </w:lvl>
    <w:lvl w:ilvl="7" w:tplc="CFD8524E">
      <w:numFmt w:val="bullet"/>
      <w:lvlText w:val="•"/>
      <w:lvlJc w:val="left"/>
      <w:pPr>
        <w:ind w:left="7204" w:hanging="360"/>
      </w:pPr>
      <w:rPr>
        <w:rFonts w:hint="default"/>
      </w:rPr>
    </w:lvl>
    <w:lvl w:ilvl="8" w:tplc="E4FE8076">
      <w:numFmt w:val="bullet"/>
      <w:lvlText w:val="•"/>
      <w:lvlJc w:val="left"/>
      <w:pPr>
        <w:ind w:left="8036" w:hanging="360"/>
      </w:pPr>
      <w:rPr>
        <w:rFonts w:hint="default"/>
      </w:rPr>
    </w:lvl>
  </w:abstractNum>
  <w:num w:numId="1" w16cid:durableId="37986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C3"/>
    <w:rsid w:val="00171827"/>
    <w:rsid w:val="0025481F"/>
    <w:rsid w:val="00C75ACC"/>
    <w:rsid w:val="00CB1DC5"/>
    <w:rsid w:val="00DA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A111"/>
  <w15:chartTrackingRefBased/>
  <w15:docId w15:val="{6C52DE34-E91A-43E8-8FE4-B25236BE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8C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A18C3"/>
    <w:pPr>
      <w:ind w:left="26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8C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A18C3"/>
    <w:rPr>
      <w:sz w:val="24"/>
      <w:szCs w:val="24"/>
    </w:rPr>
  </w:style>
  <w:style w:type="character" w:customStyle="1" w:styleId="BodyTextChar">
    <w:name w:val="Body Text Char"/>
    <w:basedOn w:val="DefaultParagraphFont"/>
    <w:link w:val="BodyText"/>
    <w:uiPriority w:val="1"/>
    <w:rsid w:val="00DA18C3"/>
    <w:rPr>
      <w:rFonts w:ascii="Times New Roman" w:eastAsia="Times New Roman" w:hAnsi="Times New Roman" w:cs="Times New Roman"/>
      <w:sz w:val="24"/>
      <w:szCs w:val="24"/>
    </w:rPr>
  </w:style>
  <w:style w:type="paragraph" w:styleId="ListParagraph">
    <w:name w:val="List Paragraph"/>
    <w:basedOn w:val="Normal"/>
    <w:uiPriority w:val="1"/>
    <w:qFormat/>
    <w:rsid w:val="00DA18C3"/>
    <w:pPr>
      <w:ind w:left="1380" w:hanging="360"/>
    </w:pPr>
  </w:style>
  <w:style w:type="character" w:styleId="Hyperlink">
    <w:name w:val="Hyperlink"/>
    <w:basedOn w:val="DefaultParagraphFont"/>
    <w:uiPriority w:val="99"/>
    <w:unhideWhenUsed/>
    <w:rsid w:val="00DA18C3"/>
    <w:rPr>
      <w:color w:val="0000FF" w:themeColor="hyperlink"/>
      <w:u w:val="single"/>
    </w:rPr>
  </w:style>
  <w:style w:type="character" w:styleId="UnresolvedMention">
    <w:name w:val="Unresolved Mention"/>
    <w:basedOn w:val="DefaultParagraphFont"/>
    <w:uiPriority w:val="99"/>
    <w:semiHidden/>
    <w:unhideWhenUsed/>
    <w:rsid w:val="00DA1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1554</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Bowdoin College</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Hayes</dc:creator>
  <cp:keywords/>
  <dc:description/>
  <cp:lastModifiedBy>Cathy Hayes</cp:lastModifiedBy>
  <cp:revision>2</cp:revision>
  <dcterms:created xsi:type="dcterms:W3CDTF">2023-09-01T18:38:00Z</dcterms:created>
  <dcterms:modified xsi:type="dcterms:W3CDTF">2023-09-01T18:38:00Z</dcterms:modified>
</cp:coreProperties>
</file>